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F9CEB9D" w:rsidR="00715E72" w:rsidRDefault="00715E72" w:rsidP="004471B6">
      <w:pPr>
        <w:pStyle w:val="Podnadpissmlouvy"/>
      </w:pPr>
      <w:r w:rsidRPr="00101CA5">
        <w:t xml:space="preserve">ČÍSLO ISPROFOND: </w:t>
      </w:r>
      <w:r w:rsidRPr="00101CA5">
        <w:tab/>
      </w:r>
      <w:r w:rsidR="00101CA5" w:rsidRPr="00101CA5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A71CCC1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  <w:r w:rsidR="00DB31FF">
        <w:t xml:space="preserve">, na základě </w:t>
      </w:r>
      <w:r w:rsidR="00DB31FF" w:rsidRPr="00101CA5">
        <w:t xml:space="preserve">pověření č. </w:t>
      </w:r>
      <w:r w:rsidR="00101CA5" w:rsidRPr="00101CA5">
        <w:t>3622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58E11FE9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D62BA2" w:rsidRPr="00D62BA2">
        <w:rPr>
          <w:b/>
        </w:rPr>
        <w:t xml:space="preserve">Dodávka 1 sady statického laserového skeneru pro práci s </w:t>
      </w:r>
      <w:proofErr w:type="spellStart"/>
      <w:r w:rsidR="00D62BA2" w:rsidRPr="00D62BA2">
        <w:rPr>
          <w:b/>
        </w:rPr>
        <w:t>Building</w:t>
      </w:r>
      <w:proofErr w:type="spellEnd"/>
      <w:r w:rsidR="00D62BA2" w:rsidRPr="00D62BA2">
        <w:rPr>
          <w:b/>
        </w:rPr>
        <w:t xml:space="preserve"> </w:t>
      </w:r>
      <w:proofErr w:type="spellStart"/>
      <w:r w:rsidR="00D62BA2" w:rsidRPr="00D62BA2">
        <w:rPr>
          <w:b/>
        </w:rPr>
        <w:t>Information</w:t>
      </w:r>
      <w:proofErr w:type="spellEnd"/>
      <w:r w:rsidR="00D62BA2" w:rsidRPr="00D62BA2">
        <w:rPr>
          <w:b/>
        </w:rPr>
        <w:t xml:space="preserve"> Modelling (BIM) a kontrolou staveb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436D7E">
        <w:t>3882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F921FE9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D62BA2">
        <w:t>d</w:t>
      </w:r>
      <w:r w:rsidR="00D62BA2" w:rsidRPr="00D62BA2">
        <w:t xml:space="preserve">odávka 1 sady statického laserového skeneru pro práci s </w:t>
      </w:r>
      <w:proofErr w:type="spellStart"/>
      <w:r w:rsidR="00D62BA2" w:rsidRPr="00D62BA2">
        <w:t>Building</w:t>
      </w:r>
      <w:proofErr w:type="spellEnd"/>
      <w:r w:rsidR="00D62BA2" w:rsidRPr="00D62BA2">
        <w:t xml:space="preserve"> </w:t>
      </w:r>
      <w:proofErr w:type="spellStart"/>
      <w:r w:rsidR="00D62BA2" w:rsidRPr="00D62BA2">
        <w:t>Information</w:t>
      </w:r>
      <w:proofErr w:type="spellEnd"/>
      <w:r w:rsidR="00D62BA2" w:rsidRPr="00D62BA2">
        <w:t xml:space="preserve"> Modelling (BIM) a kontrolou staveb</w:t>
      </w:r>
      <w:r w:rsidR="00436D7E">
        <w:t>.</w:t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C5E4F38" w:rsidR="00C24C30" w:rsidRDefault="0023570E" w:rsidP="004471B6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</w:t>
      </w:r>
      <w:r w:rsidRPr="006C765B">
        <w:lastRenderedPageBreak/>
        <w:t xml:space="preserve">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</w:t>
      </w:r>
      <w:r w:rsidRPr="009146AF">
        <w:lastRenderedPageBreak/>
        <w:t xml:space="preserve">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776B553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101CA5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 xml:space="preserve">Přestane-li Prodávající nebo některý z jeho poddodavatelů nebo jiných osob, jejichž </w:t>
      </w:r>
      <w:r w:rsidRPr="00483C85">
        <w:lastRenderedPageBreak/>
        <w:t>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 xml:space="preserve">mlouvou se řídí Občanským zákoníkem a dalšími </w:t>
      </w:r>
      <w:r w:rsidRPr="009146AF">
        <w:lastRenderedPageBreak/>
        <w:t>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1CA5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62DEE"/>
    <w:rsid w:val="00280E07"/>
    <w:rsid w:val="00287059"/>
    <w:rsid w:val="002A5E9C"/>
    <w:rsid w:val="002A77EB"/>
    <w:rsid w:val="002B20CA"/>
    <w:rsid w:val="002B378D"/>
    <w:rsid w:val="002B6655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25E38"/>
    <w:rsid w:val="00436D7E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2440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6192D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0C5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47B11"/>
    <w:rsid w:val="007576A4"/>
    <w:rsid w:val="0076286B"/>
    <w:rsid w:val="00764FE1"/>
    <w:rsid w:val="00766846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15B0"/>
    <w:rsid w:val="00904780"/>
    <w:rsid w:val="009146AF"/>
    <w:rsid w:val="00922385"/>
    <w:rsid w:val="009223DF"/>
    <w:rsid w:val="00923E73"/>
    <w:rsid w:val="00926B03"/>
    <w:rsid w:val="00926EA5"/>
    <w:rsid w:val="009275B5"/>
    <w:rsid w:val="00936091"/>
    <w:rsid w:val="00940D8A"/>
    <w:rsid w:val="009461FB"/>
    <w:rsid w:val="00962258"/>
    <w:rsid w:val="009678B7"/>
    <w:rsid w:val="009768EC"/>
    <w:rsid w:val="009833E1"/>
    <w:rsid w:val="00984934"/>
    <w:rsid w:val="00986E0C"/>
    <w:rsid w:val="009900CE"/>
    <w:rsid w:val="00992D9C"/>
    <w:rsid w:val="00996CB8"/>
    <w:rsid w:val="009B14A9"/>
    <w:rsid w:val="009B2E97"/>
    <w:rsid w:val="009D5BC0"/>
    <w:rsid w:val="009E07F4"/>
    <w:rsid w:val="009E3006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57DD0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2BA2"/>
    <w:rsid w:val="00D6524B"/>
    <w:rsid w:val="00D77DE5"/>
    <w:rsid w:val="00D831A3"/>
    <w:rsid w:val="00D83B72"/>
    <w:rsid w:val="00D85857"/>
    <w:rsid w:val="00D85B9E"/>
    <w:rsid w:val="00D85C5B"/>
    <w:rsid w:val="00DB31FF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1D9B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2014</Words>
  <Characters>11885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26</cp:revision>
  <cp:lastPrinted>2024-10-09T10:31:00Z</cp:lastPrinted>
  <dcterms:created xsi:type="dcterms:W3CDTF">2024-04-09T08:34:00Z</dcterms:created>
  <dcterms:modified xsi:type="dcterms:W3CDTF">2024-10-09T10:35:00Z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